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media/image5.png" ContentType="image/jpeg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jc w:val="center"/>
      </w:pPr>
      <w:r>
        <w:rPr>
          <w:b/>
          <w:sz w:val="44"/>
        </w:rPr>
        <w:t>SaffronHealth.AI — Final MVP: Requirements + Hi‑Fi Wireframes</w:t>
      </w:r>
    </w:p>
    <w:p>
      <w:r>
        <w:t>Date: 09-Dec-2025 | Theme: Saffron Purple (Light) | Roles: Payer, Provider, Care Coordinator</w:t>
      </w:r>
    </w:p>
    <w:p>
      <w:r>
        <w:t>This is the final, consolidated document. It contains the signed‑off requirements and the high‑fidelity wireframes with drill‑down explanations. **No external links are included.**</w:t>
      </w:r>
    </w:p>
    <w:p>
      <w:pPr>
        <w:pStyle w:val="Heading1"/>
      </w:pPr>
      <w:r>
        <w:t>Executive Summary</w:t>
      </w:r>
    </w:p>
    <w:p>
      <w:r>
        <w:t>Build a clinician‑first, role‑based population health dashboard that reads patient data from a JSON dump and surfaces explainable, actionable insights for Payer, Provider, and Care Coordinator personas. The MVP focuses on UI, drill‑downs, and narratives. No backend APIs are required; all metrics are computed client‑side from JSON.</w:t>
      </w:r>
    </w:p>
    <w:p>
      <w:pPr>
        <w:pStyle w:val="Heading1"/>
      </w:pPr>
      <w:r>
        <w:t>1. Scope &amp; Objectives</w:t>
      </w:r>
    </w:p>
    <w:p>
      <w:r>
        <w:t>• Role‑based workspaces with cohort filters and live KPIs</w:t>
        <w:br/>
        <w:t>• Explainable “Why?” evidence pills on every alert/tile</w:t>
        <w:br/>
        <w:t>• Drill‑down flows: KPI/driver → Cohort List → Member Drawer (Summary/Cost/Care/SDoH)</w:t>
        <w:br/>
        <w:t>• Narratives (Trend/Distribution/Care focus) to reduce cognitive load</w:t>
        <w:br/>
        <w:t>• Accessibility: WCAG AA contrast, keyboard shortcuts, high‑contrast provider mode</w:t>
      </w:r>
    </w:p>
    <w:p>
      <w:pPr>
        <w:pStyle w:val="Heading1"/>
      </w:pPr>
      <w:r>
        <w:t>2. Personas &amp; Primary Outcomes</w:t>
      </w:r>
    </w:p>
    <w:p>
      <w:r>
        <w:rPr>
          <w:b/>
        </w:rPr>
        <w:t xml:space="preserve">Payer: </w:t>
      </w:r>
      <w:r>
        <w:t>Reduce avoidable acute spend; identify high‑cost cohorts; forecast 12‑month spend; share actionable cohorts.</w:t>
      </w:r>
    </w:p>
    <w:p>
      <w:r>
        <w:rPr>
          <w:b/>
        </w:rPr>
        <w:t xml:space="preserve">Provider: </w:t>
      </w:r>
      <w:r>
        <w:t>Point‑of‑care snapshot with care gaps, HCC/CMI evidence, ED/Inpatient risk; document interventions quickly.</w:t>
      </w:r>
    </w:p>
    <w:p>
      <w:r>
        <w:rPr>
          <w:b/>
        </w:rPr>
        <w:t xml:space="preserve">Care Coordinator: </w:t>
      </w:r>
      <w:r>
        <w:t>Triage SDoH + care gaps; send resources; assign/enroll pathway; track closure.</w:t>
      </w:r>
    </w:p>
    <w:p>
      <w:pPr>
        <w:pStyle w:val="Heading1"/>
      </w:pPr>
      <w:r>
        <w:t>3. Data Source &amp; Paths</w:t>
      </w:r>
    </w:p>
    <w:p>
      <w:r>
        <w:t>Development path (Windows): C:\Users\mprasa30\Downloads\patient.json</w:t>
      </w:r>
    </w:p>
    <w:p>
      <w:r>
        <w:t>Build/runtime path (Cloud Run): /public/patient.json</w:t>
      </w:r>
    </w:p>
    <w:p>
      <w:pPr>
        <w:pStyle w:val="Heading1"/>
      </w:pPr>
      <w:r>
        <w:t>4. KPIs &amp; Computations (from JSON)</w:t>
      </w:r>
    </w:p>
    <w:p>
      <w:r>
        <w:t>• Total Members (count)</w:t>
      </w:r>
    </w:p>
    <w:p>
      <w:r>
        <w:t>• Engaged Members % (Engaged/High Utilizer)</w:t>
      </w:r>
    </w:p>
    <w:p>
      <w:r>
        <w:t>• Total Cost of Care (YTD): yearlySpending[2025] OR (edCostYtd + inpatientCostYtd + surgeryCostYtd)</w:t>
      </w:r>
    </w:p>
    <w:p>
      <w:r>
        <w:t>• Preventable ED Spend (Modeled): sum(predictedEdCost) — chips from aggregated SDoH/Conditions</w:t>
      </w:r>
    </w:p>
    <w:p>
      <w:r>
        <w:t>• Surgery Spend (YTD): sum(surgeryCostYtd); Projected Surgery: sum(predictedSurgeryCost)</w:t>
      </w:r>
    </w:p>
    <w:p>
      <w:r>
        <w:t>• Risk Segment counts (Very High/High/Medium/Low)</w:t>
      </w:r>
    </w:p>
    <w:p>
      <w:r>
        <w:t>• 12‑month Predictions: Total, ED, Inpatient, Surgery, Chronic, Other</w:t>
      </w:r>
    </w:p>
    <w:p>
      <w:r>
        <w:t>• Cost Drivers: frequency‑weighted contributions (Oncology, MSK, Behavioral Health, COPD)</w:t>
      </w:r>
    </w:p>
    <w:p>
      <w:pPr>
        <w:pStyle w:val="Heading1"/>
      </w:pPr>
      <w:r>
        <w:t>5. Cost Avoidance (MVP Formula &amp; Tooltip)</w:t>
      </w:r>
    </w:p>
    <w:p>
      <w:r>
        <w:t>Shown transparently in the tile tooltip:</w:t>
      </w:r>
    </w:p>
    <w:p>
      <w:r>
        <w:t>Cost Avoidance = (Σ predictedEdCost + Σ predictedInpatientCost) − (Σ edCostYtd + Σ inpatientCostYtd)</w:t>
      </w:r>
    </w:p>
    <w:p>
      <w:r>
        <w:t>Interpretation: Positive → modeled savings opportunity vs current YTD acute spend; Negative → acute spend exceeds projections.</w:t>
      </w:r>
    </w:p>
    <w:p>
      <w:pPr>
        <w:pStyle w:val="Heading1"/>
      </w:pPr>
      <w:r>
        <w:t>6. Role‑Based Screens &amp; Drill‑Downs</w:t>
      </w:r>
    </w:p>
    <w:p>
      <w:pPr>
        <w:pStyle w:val="Heading2"/>
      </w:pPr>
      <w:r>
        <w:t>6.1 Payer Summary &amp; Drill‑Down</w:t>
      </w:r>
    </w:p>
    <w:p>
      <w:r>
        <w:t>KPIs: Total, Engaged %, YTD, Preventable ED (Modeled), Surgery YTD, Cost Avoidance.</w:t>
      </w:r>
    </w:p>
    <w:p>
      <w:r>
        <w:t>Segments grid, 12‑month predictions, Cost Drivers chips; “Why?” pills show evidence from ed/inpatient/HCC/CMI explanations.</w:t>
      </w:r>
    </w:p>
    <w:p>
      <w:r>
        <w:t>Flow: KPI/driver → Cohort List (virtualized 10k) → Member Drawer (Cost tab).</w:t>
      </w:r>
    </w:p>
    <w:p>
      <w:pPr>
        <w:pStyle w:val="Heading2"/>
      </w:pPr>
      <w:r>
        <w:t>6.2 Provider Clinical Cockpit &amp; Patient Timeline</w:t>
      </w:r>
    </w:p>
    <w:p>
      <w:r>
        <w:t>KPIs: High‑risk visits today, Open care gaps, HCC opportunities (static wording for MVP), Abnormal trends.</w:t>
      </w:r>
    </w:p>
    <w:p>
      <w:r>
        <w:t>Drawer tabs: Summary (careGaps, actionableRecommendations) · Utilization (edUseRisk, inpatientProbability, predicted split, YTD acute spends).</w:t>
      </w:r>
    </w:p>
    <w:p>
      <w:r>
        <w:t>Actions: Confirm HCC/RAF (MVP flag), Add plan note, Mark gap planned.</w:t>
      </w:r>
    </w:p>
    <w:p>
      <w:pPr>
        <w:pStyle w:val="Heading2"/>
      </w:pPr>
      <w:r>
        <w:t>6.3 Care Coordinator Workbench &amp; Care Tab</w:t>
      </w:r>
    </w:p>
    <w:p>
      <w:r>
        <w:t>Triage queue sorted by SDoH count → risk → lastUpdated. Care tab with checklist actions: Assign, Acknowledge, Enroll pathway.</w:t>
      </w:r>
    </w:p>
    <w:p>
      <w:r>
        <w:t>SDoH &amp; Resources: chips + copy/share links from communityResources.</w:t>
      </w:r>
    </w:p>
    <w:p>
      <w:pPr>
        <w:pStyle w:val="Heading1"/>
      </w:pPr>
      <w:r>
        <w:t>7. Employee Finder, List &amp; Details</w:t>
      </w:r>
    </w:p>
    <w:p>
      <w:r>
        <w:t>Finder filters: State, Risk Segment, Condition, Engagement, SDoH (Housing/Food/Transport/Financial).</w:t>
      </w:r>
    </w:p>
    <w:p>
      <w:r>
        <w:t>List: virtualized 10k; columns: Member, State, Risk, Risk Score, Conditions, SDoH chips, Engagement, Pred 12m Cost.</w:t>
      </w:r>
    </w:p>
    <w:p>
      <w:r>
        <w:t>Row click opens Member Drawer (Summary/Cost/Care/SDoH) with “Why?” evidence pills.</w:t>
      </w:r>
    </w:p>
    <w:p>
      <w:pPr>
        <w:pStyle w:val="Heading1"/>
      </w:pPr>
      <w:r>
        <w:t>8. Narratives &amp; Explainability</w:t>
      </w:r>
    </w:p>
    <w:p>
      <w:r>
        <w:t>Each KPI/alert includes a “Why?” pill showing top drivers and JSON evidence (hccRiskExplanation, cmiExplanation, edUseExplanation, inpatientExplanation).</w:t>
      </w:r>
    </w:p>
    <w:p>
      <w:r>
        <w:t>Narratives: Trend, Distribution, Care focus—auto‑generated from segment mix and predicted acute utilization.</w:t>
      </w:r>
    </w:p>
    <w:p>
      <w:pPr>
        <w:pStyle w:val="Heading1"/>
      </w:pPr>
      <w:r>
        <w:t>9. Accessibility &amp; Performance</w:t>
      </w:r>
    </w:p>
    <w:p>
      <w:r>
        <w:t>WCAG AA contrast; color + icon + text for status; keyboard shortcuts (g o / g l / g d; Esc).</w:t>
      </w:r>
    </w:p>
    <w:p>
      <w:r>
        <w:t>Virtualized tables (react‑window) for 10k; memoized computations; cohort chips persist across tabs.</w:t>
      </w:r>
    </w:p>
    <w:p>
      <w:pPr>
        <w:pStyle w:val="Heading1"/>
      </w:pPr>
      <w:r>
        <w:t>10. Implementation Plan (MVP, JSON‑only)</w:t>
      </w:r>
    </w:p>
    <w:p>
      <w:r>
        <w:t>Stack: Next.js + React + TypeScript + Tailwind; ECharts; react‑window; Zustand state.</w:t>
      </w:r>
    </w:p>
    <w:p>
      <w:r>
        <w:t>Data: JSON read via Node fs in dev; /public in build/runtime (Cloud Run).</w:t>
      </w:r>
    </w:p>
    <w:p>
      <w:r>
        <w:t>Deliverables: Summary + Cohort filters; live KPIs; virtualized list; Member Drawer; “Why?” evidence; narratives; high‑contrast provider mode.</w:t>
      </w:r>
    </w:p>
    <w:p>
      <w:pPr>
        <w:pStyle w:val="Heading1"/>
      </w:pPr>
      <w:r>
        <w:t>Appendix: Hi‑Fi Wireframes (Color)</w:t>
      </w:r>
    </w:p>
    <w:p>
      <w:r>
        <w:drawing>
          <wp:inline xmlns:a="http://schemas.openxmlformats.org/drawingml/2006/main" xmlns:pic="http://schemas.openxmlformats.org/drawingml/2006/picture">
            <wp:extent cx="5943600" cy="396240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76754ba58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t>Payer Summary &amp; Drill‑Down</w:t>
      </w:r>
    </w:p>
    <w:p>
      <w:r>
        <w:drawing>
          <wp:inline xmlns:a="http://schemas.openxmlformats.org/drawingml/2006/main" xmlns:pic="http://schemas.openxmlformats.org/drawingml/2006/picture">
            <wp:extent cx="5943600" cy="396240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bcca8c837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t>Provider Clinical Cockpit &amp; Patient Timeline</w:t>
      </w:r>
    </w:p>
    <w:p>
      <w:r>
        <w:drawing>
          <wp:inline xmlns:a="http://schemas.openxmlformats.org/drawingml/2006/main" xmlns:pic="http://schemas.openxmlformats.org/drawingml/2006/picture">
            <wp:extent cx="5943600" cy="3962400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db854027f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t>Care Coordinator Workbench &amp; Care Tab</w:t>
      </w:r>
    </w:p>
    <w:p>
      <w:r>
        <w:drawing>
          <wp:inline xmlns:a="http://schemas.openxmlformats.org/drawingml/2006/main" xmlns:pic="http://schemas.openxmlformats.org/drawingml/2006/picture">
            <wp:extent cx="5943600" cy="396240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4890a9e248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t>Employee Details &amp; Cohort Insights</w:t>
      </w:r>
    </w:p>
    <w:p>
      <w:r>
        <w:drawing>
          <wp:inline xmlns:a="http://schemas.openxmlformats.org/drawingml/2006/main" xmlns:pic="http://schemas.openxmlformats.org/drawingml/2006/picture">
            <wp:extent cx="5943600" cy="396240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ure send me wireframe and snaphots !!!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t>Composite drill‑down snapshot</w:t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  <w:rPr>
      <w:rFonts w:ascii="Calibri" w:hAnsi="Calibri"/>
      <w:sz w:val="22"/>
    </w:rPr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